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widowControl/>
        <w:spacing w:before="0" w:after="40"/>
      </w:pPr>
      <w:r>
        <w:rPr>
          <w:rFonts w:ascii="Calibri" w:hAnsi="Calibri"/>
          <w:b/>
          <w:color w:val="2E74B5"/>
          <w:sz w:val="18"/>
        </w:rPr>
        <w:t>POWER FLOW SEQUENCE</w:t>
      </w:r>
    </w:p>
    <w:p>
      <w:pPr>
        <w:keepNext/>
        <w:keepLines/>
        <w:widowControl/>
        <w:spacing w:before="0" w:after="80"/>
      </w:pPr>
      <w:r>
        <w:rPr>
          <w:rFonts w:ascii="Calibri" w:hAnsi="Calibri"/>
          <w:b/>
          <w:color w:val="0B2545"/>
          <w:sz w:val="50"/>
        </w:rPr>
        <w:t>Reverse Engagement &amp; Power Flow</w:t>
      </w:r>
    </w:p>
    <w:p>
      <w:pPr>
        <w:keepNext/>
        <w:keepLines/>
        <w:widowControl/>
        <w:spacing w:before="0" w:after="160"/>
      </w:pPr>
      <w:r>
        <w:rPr>
          <w:rFonts w:ascii="Calibri" w:hAnsi="Calibri"/>
          <w:color w:val="5B6775"/>
          <w:sz w:val="23"/>
        </w:rPr>
        <w:t>From engine start to vehicle movement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C9D5E3"/>
          <w:left w:val="single" w:sz="4" w:space="0" w:color="C9D5E3"/>
          <w:bottom w:val="single" w:sz="4" w:space="0" w:color="C9D5E3"/>
          <w:right w:val="single" w:sz="4" w:space="0" w:color="C9D5E3"/>
          <w:insideH w:val="single" w:sz="4" w:space="0" w:color="C9D5E3"/>
          <w:insideV w:val="single" w:sz="4" w:space="0" w:color="C9D5E3"/>
        </w:tblBorders>
        <w:tblInd w:type="dxa" w:w="12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  <w:vAlign w:val="center"/>
            <w:shd w:fill="E8EEF5" w:val="clear"/>
            <w:tcBorders>
              <w:top w:val="single" w:sz="14" w:space="0" w:color="2E74B5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0" w:lineRule="auto"/>
            </w:pPr>
            <w:r>
              <w:rPr>
                <w:rFonts w:ascii="Calibri" w:hAnsi="Calibri"/>
                <w:b/>
                <w:color w:val="2E74B5"/>
                <w:sz w:val="17"/>
              </w:rPr>
              <w:t xml:space="preserve">01  </w:t>
            </w:r>
            <w:r>
              <w:rPr>
                <w:rFonts w:ascii="Calibri" w:hAnsi="Calibri"/>
                <w:b/>
                <w:color w:val="0B2545"/>
                <w:sz w:val="18"/>
              </w:rPr>
              <w:t>BUILD PRESSURE</w:t>
            </w:r>
          </w:p>
          <w:p>
            <w:pPr>
              <w:spacing w:before="0" w:after="0" w:line="240" w:lineRule="auto"/>
            </w:pPr>
            <w:r>
              <w:rPr>
                <w:rFonts w:ascii="Calibri" w:hAnsi="Calibri"/>
                <w:color w:val="5B6775"/>
                <w:sz w:val="17"/>
              </w:rPr>
              <w:t>Engine starts</w:t>
            </w:r>
          </w:p>
        </w:tc>
        <w:tc>
          <w:tcPr>
            <w:tcW w:type="dxa" w:w="3120"/>
            <w:vAlign w:val="center"/>
            <w:shd w:fill="E8EEF5" w:val="clear"/>
            <w:tcBorders>
              <w:top w:val="single" w:sz="14" w:space="0" w:color="2E74B5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0" w:lineRule="auto"/>
            </w:pPr>
            <w:r>
              <w:rPr>
                <w:rFonts w:ascii="Calibri" w:hAnsi="Calibri"/>
                <w:b/>
                <w:color w:val="2E74B5"/>
                <w:sz w:val="17"/>
              </w:rPr>
              <w:t xml:space="preserve">02  </w:t>
            </w:r>
            <w:r>
              <w:rPr>
                <w:rFonts w:ascii="Calibri" w:hAnsi="Calibri"/>
                <w:b/>
                <w:color w:val="0B2545"/>
                <w:sz w:val="18"/>
              </w:rPr>
              <w:t>APPLY REVERSE</w:t>
            </w:r>
          </w:p>
          <w:p>
            <w:pPr>
              <w:spacing w:before="0" w:after="0" w:line="240" w:lineRule="auto"/>
            </w:pPr>
            <w:r>
              <w:rPr>
                <w:rFonts w:ascii="Calibri" w:hAnsi="Calibri"/>
                <w:color w:val="5B6775"/>
                <w:sz w:val="17"/>
              </w:rPr>
              <w:t>Driver selects R</w:t>
            </w:r>
          </w:p>
        </w:tc>
        <w:tc>
          <w:tcPr>
            <w:tcW w:type="dxa" w:w="3120"/>
            <w:vAlign w:val="center"/>
            <w:shd w:fill="E8EEF5" w:val="clear"/>
            <w:tcBorders>
              <w:top w:val="single" w:sz="14" w:space="0" w:color="2E74B5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0" w:lineRule="auto"/>
            </w:pPr>
            <w:r>
              <w:rPr>
                <w:rFonts w:ascii="Calibri" w:hAnsi="Calibri"/>
                <w:b/>
                <w:color w:val="2E74B5"/>
                <w:sz w:val="17"/>
              </w:rPr>
              <w:t xml:space="preserve">03  </w:t>
            </w:r>
            <w:r>
              <w:rPr>
                <w:rFonts w:ascii="Calibri" w:hAnsi="Calibri"/>
                <w:b/>
                <w:color w:val="0B2545"/>
                <w:sz w:val="18"/>
              </w:rPr>
              <w:t>MOVE VEHICLE</w:t>
            </w:r>
          </w:p>
          <w:p>
            <w:pPr>
              <w:spacing w:before="0" w:after="0" w:line="240" w:lineRule="auto"/>
            </w:pPr>
            <w:r>
              <w:rPr>
                <w:rFonts w:ascii="Calibri" w:hAnsi="Calibri"/>
                <w:color w:val="5B6775"/>
                <w:sz w:val="17"/>
              </w:rPr>
              <w:t>Brake is released</w:t>
            </w:r>
          </w:p>
        </w:tc>
      </w:tr>
    </w:tbl>
    <w:p>
      <w:pPr>
        <w:spacing w:after="0" w:before="20"/>
      </w:pPr>
    </w:p>
    <w:p>
      <w:pPr>
        <w:keepNext/>
        <w:keepLines/>
        <w:widowControl/>
        <w:spacing w:before="20" w:after="80" w:line="240" w:lineRule="auto"/>
      </w:pPr>
      <w:r>
        <w:rPr>
          <w:rFonts w:ascii="Calibri" w:hAnsi="Calibri"/>
          <w:b/>
          <w:color w:val="5B6775"/>
          <w:sz w:val="17"/>
        </w:rPr>
        <w:t xml:space="preserve">Application note: </w:t>
      </w:r>
      <w:r>
        <w:rPr>
          <w:rFonts w:ascii="Calibri" w:hAnsi="Calibri"/>
          <w:i/>
          <w:color w:val="5B6775"/>
          <w:sz w:val="17"/>
        </w:rPr>
        <w:t>This example uses Shift Solenoids A/B, a reverse-input clutch, and a low/reverse clutch; exact solenoid states and circuit names vary by transmission model.</w:t>
      </w:r>
    </w:p>
    <w:p>
      <w:pPr>
        <w:pStyle w:val="Heading1"/>
        <w:keepNext/>
        <w:keepLines/>
        <w:widowControl/>
        <w:numPr>
          <w:ilvl w:val="0"/>
          <w:numId w:val="11"/>
        </w:numPr>
      </w:pPr>
      <w:r>
        <w:rPr>
          <w:rFonts w:ascii="Calibri" w:hAnsi="Calibri"/>
          <w:b/>
          <w:color w:val="2E74B5"/>
          <w:sz w:val="30"/>
        </w:rPr>
        <w:t>Engine Starts: Pressure Is Established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Torque converter and pump: </w:t>
      </w:r>
      <w:r>
        <w:rPr>
          <w:rFonts w:ascii="Calibri" w:hAnsi="Calibri"/>
          <w:color w:val="000000"/>
          <w:sz w:val="20"/>
        </w:rPr>
        <w:t>The engine turns the impeller and drives the transmission pump at engine speed. The pump draws automatic transmission fluid (ATF) from the sump and establishes line pressure.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Pressure control: </w:t>
      </w:r>
      <w:r>
        <w:rPr>
          <w:rFonts w:ascii="Calibri" w:hAnsi="Calibri"/>
          <w:color w:val="000000"/>
          <w:sz w:val="20"/>
        </w:rPr>
        <w:t>The pressure regulator valve controls line pressure and recirculates or returns excess fluid.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Electronic command: </w:t>
      </w:r>
      <w:r>
        <w:rPr>
          <w:rFonts w:ascii="Calibri" w:hAnsi="Calibri"/>
          <w:color w:val="000000"/>
          <w:sz w:val="20"/>
        </w:rPr>
        <w:t>For this example, the PCM commands Shift Solenoids A and B ON. The manual valve remains in Park, so the reverse-input circuit is not yet applied.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Low/reverse clutch: </w:t>
      </w:r>
      <w:r>
        <w:rPr>
          <w:rFonts w:ascii="Calibri" w:hAnsi="Calibri"/>
          <w:color w:val="000000"/>
          <w:sz w:val="20"/>
        </w:rPr>
        <w:t>The Park/Reverse circuit applies the low/reverse clutch, holding the reaction carrier for Reverse.</w:t>
      </w:r>
    </w:p>
    <w:p>
      <w:pPr>
        <w:pStyle w:val="Heading1"/>
        <w:keepNext/>
        <w:keepLines/>
        <w:widowControl/>
        <w:numPr>
          <w:ilvl w:val="0"/>
          <w:numId w:val="11"/>
        </w:numPr>
      </w:pPr>
      <w:r>
        <w:rPr>
          <w:rFonts w:ascii="Calibri" w:hAnsi="Calibri"/>
          <w:b/>
          <w:color w:val="2E74B5"/>
          <w:sz w:val="30"/>
        </w:rPr>
        <w:t>Driver Selects Reverse: Apply Devices Engage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Manual valve and pressure: </w:t>
      </w:r>
      <w:r>
        <w:rPr>
          <w:rFonts w:ascii="Calibri" w:hAnsi="Calibri"/>
          <w:color w:val="000000"/>
          <w:sz w:val="20"/>
        </w:rPr>
        <w:t>Moving the selector to R shifts the manual valve and routes line pressure into the Reverse apply circuit.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Reverse-input clutch: </w:t>
      </w:r>
      <w:r>
        <w:rPr>
          <w:rFonts w:ascii="Calibri" w:hAnsi="Calibri"/>
          <w:color w:val="000000"/>
          <w:sz w:val="20"/>
        </w:rPr>
        <w:t>Apply pressure engages the reverse-input clutch pack, while the reverse-boost circuit increases pressure for the load.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Power flow: </w:t>
      </w:r>
      <w:r>
        <w:rPr>
          <w:rFonts w:ascii="Calibri" w:hAnsi="Calibri"/>
          <w:color w:val="000000"/>
          <w:sz w:val="20"/>
        </w:rPr>
        <w:t>The reverse-input clutch drives the reaction sun gear while the low/reverse clutch holds the reaction carrier. The reaction internal (ring) gear and output shaft rotate in the opposite direction, producing Reverse.</w:t>
      </w:r>
    </w:p>
    <w:p>
      <w:pPr>
        <w:pStyle w:val="Heading1"/>
        <w:keepNext/>
        <w:keepLines/>
        <w:widowControl/>
        <w:numPr>
          <w:ilvl w:val="0"/>
          <w:numId w:val="11"/>
        </w:numPr>
      </w:pPr>
      <w:r>
        <w:rPr>
          <w:rFonts w:ascii="Calibri" w:hAnsi="Calibri"/>
          <w:b/>
          <w:color w:val="2E74B5"/>
          <w:sz w:val="30"/>
        </w:rPr>
        <w:t>Brake Is Released: The Vehicle Accelerates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Brake applied: </w:t>
      </w:r>
      <w:r>
        <w:rPr>
          <w:rFonts w:ascii="Calibri" w:hAnsi="Calibri"/>
          <w:color w:val="000000"/>
          <w:sz w:val="20"/>
        </w:rPr>
        <w:t>With the brakes holding the vehicle stationary in Reverse, the turbine is held by the driveline while the impeller turns. This is a stall condition.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Initial movement: </w:t>
      </w:r>
      <w:r>
        <w:rPr>
          <w:rFonts w:ascii="Calibri" w:hAnsi="Calibri"/>
          <w:color w:val="000000"/>
          <w:sz w:val="20"/>
        </w:rPr>
        <w:t>Releasing the brake allows the vehicle to creep backward at idle. Pressing the accelerator increases impeller speed and fluid flow.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Torque multiplication: </w:t>
      </w:r>
      <w:r>
        <w:rPr>
          <w:rFonts w:ascii="Calibri" w:hAnsi="Calibri"/>
          <w:color w:val="000000"/>
          <w:sz w:val="20"/>
        </w:rPr>
        <w:t>While the turbine is much slower than the impeller, the stator redirects returning fluid and multiplies torque.</w:t>
      </w:r>
    </w:p>
    <w:p>
      <w:pPr>
        <w:keepLines/>
        <w:widowControl/>
        <w:numPr>
          <w:ilvl w:val="0"/>
          <w:numId w:val="10"/>
        </w:numPr>
        <w:spacing w:before="0" w:after="50" w:line="269" w:lineRule="auto"/>
      </w:pPr>
      <w:r>
        <w:rPr>
          <w:rFonts w:ascii="Calibri" w:hAnsi="Calibri"/>
          <w:b/>
          <w:color w:val="000000"/>
          <w:sz w:val="20"/>
        </w:rPr>
        <w:t xml:space="preserve">Coupling phase: </w:t>
      </w:r>
      <w:r>
        <w:rPr>
          <w:rFonts w:ascii="Calibri" w:hAnsi="Calibri"/>
          <w:color w:val="000000"/>
          <w:sz w:val="20"/>
        </w:rPr>
        <w:t>As turbine and vehicle speed increase, the speed difference decreases, torque multiplication fades, and the converter moves toward fluid coupling.</w:t>
      </w:r>
    </w:p>
    <w:p>
      <w:pPr>
        <w:spacing w:before="100" w:after="0" w:line="259" w:lineRule="auto"/>
        <w:ind w:left="202" w:right="115"/>
        <w:shd w:val="clear" w:fill="EEF4FA"/>
        <w:keepNext w:val="0"/>
        <w:keepLines/>
        <w:widowControl/>
        <w:pBdr>
          <w:left w:val="single" w:sz="18" w:space="8" w:color="2E74B5"/>
        </w:pBdr>
      </w:pPr>
      <w:r>
        <w:rPr>
          <w:rFonts w:ascii="Calibri" w:hAnsi="Calibri"/>
          <w:b/>
          <w:color w:val="2E74B5"/>
          <w:sz w:val="18"/>
        </w:rPr>
        <w:t xml:space="preserve">KEY CORRECTION  |  </w:t>
      </w:r>
      <w:r>
        <w:rPr>
          <w:rFonts w:ascii="Calibri" w:hAnsi="Calibri"/>
          <w:b/>
          <w:color w:val="0B2545"/>
          <w:sz w:val="18"/>
        </w:rPr>
        <w:t>Stall speed is not a threshold the vehicle must exceed before moving. Torque multiplication is strongest when the impeller-to-turbine speed difference is greatest, then decreases as the turbine catches up.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0" w:after="0"/>
    </w:pPr>
    <w:r>
      <w:rPr>
        <w:rFonts w:ascii="Calibri" w:hAnsi="Calibri"/>
        <w:color w:val="5B6775"/>
        <w:sz w:val="16"/>
      </w:rPr>
      <w:t>Training Reference</w:t>
    </w:r>
    <w:r>
      <w:rPr>
        <w:rFonts w:ascii="Calibri" w:hAnsi="Calibri"/>
        <w:color w:val="5B6775"/>
        <w:sz w:val="16"/>
      </w:rPr>
      <w:tab/>
      <w:t xml:space="preserve">Page </w:t>
    </w:r>
    <w:r>
      <w:rPr>
        <w:rFonts w:ascii="Calibri" w:hAnsi="Calibri"/>
        <w:color w:val="5B6775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after="0"/>
    </w:pPr>
    <w:r>
      <w:rPr>
        <w:rFonts w:ascii="Calibri" w:hAnsi="Calibri"/>
        <w:b/>
        <w:color w:val="5B6775"/>
        <w:sz w:val="16"/>
      </w:rPr>
      <w:t>AUTOMATIC TRANSMISSION</w:t>
    </w:r>
    <w:r>
      <w:rPr>
        <w:rFonts w:ascii="Calibri" w:hAnsi="Calibri"/>
        <w:color w:val="5B6775"/>
        <w:sz w:val="16"/>
      </w:rPr>
      <w:tab/>
    </w:r>
    <w:r>
      <w:rPr>
        <w:rFonts w:ascii="Calibri" w:hAnsi="Calibri"/>
        <w:b/>
        <w:color w:val="5B6775"/>
        <w:sz w:val="16"/>
      </w:rPr>
      <w:t>REVERSE OPERATION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</w:pPr>
      <w:rPr>
        <w:rFonts w:ascii="Calibri" w:hAnsi="Calibri"/>
        <w:color w:val="2E74B5"/>
        <w:b/>
        <w:sz w:val="21"/>
        <w:szCs w:val="21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475"/>
        </w:tabs>
        <w:ind w:left="475" w:hanging="475"/>
      </w:pPr>
      <w:rPr>
        <w:rFonts w:ascii="Calibri" w:hAnsi="Calibri"/>
        <w:color w:val="2E74B5"/>
        <w:b/>
        <w:sz w:val="32"/>
        <w:szCs w:val="32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300" w:lineRule="auto"/>
      <w:jc w:val="left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60" w:after="6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Reverse Engagement and Power Flow</dc:title>
  <dc:subject>Automatic transmission reverse operation training reference</dc:subject>
  <dc:creator/>
  <cp:keywords>automatic transmission, reverse, torque converter, power flow, hydraulics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