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rFonts w:ascii="Calibri" w:hAnsi="Calibri"/>
          <w:b/>
          <w:color w:val="1F4E78"/>
          <w:sz w:val="38"/>
        </w:rPr>
        <w:t>VALVE BODY DISASSEMBLY</w:t>
      </w:r>
    </w:p>
    <w:p>
      <w:pPr>
        <w:spacing w:before="0" w:after="160" w:line="240" w:lineRule="auto"/>
      </w:pPr>
      <w:r>
        <w:rPr>
          <w:rFonts w:ascii="Calibri" w:hAnsi="Calibri"/>
          <w:b/>
          <w:color w:val="505050"/>
          <w:sz w:val="24"/>
        </w:rPr>
        <w:t>Component Location &amp; Check-Off Task Sheet</w:t>
      </w:r>
    </w:p>
    <w:tbl>
      <w:tblPr>
        <w:tblStyle w:val="TableGrid"/>
        <w:tblW w:type="dxa" w:w="8040"/>
        <w:tblLayout w:type="fixed"/>
        <w:tblLook w:firstColumn="1" w:firstRow="1" w:lastColumn="0" w:lastRow="0" w:noHBand="0" w:noVBand="1" w:val="04A0"/>
        <w:tblInd w:w="120" w:type="dxa"/>
      </w:tblPr>
      <w:tblGrid>
        <w:gridCol w:w="1080"/>
        <w:gridCol w:w="2920"/>
        <w:gridCol w:w="1080"/>
        <w:gridCol w:w="2960"/>
      </w:tblGrid>
      <w:tr>
        <w:tc>
          <w:tcPr>
            <w:tcW w:type="dxa" w:w="1080"/>
            <w:shd w:fill="DCE6F1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4E78"/>
                <w:sz w:val="18"/>
              </w:rPr>
              <w:t>Name</w:t>
            </w:r>
          </w:p>
        </w:tc>
        <w:tc>
          <w:tcPr>
            <w:tcW w:type="dxa" w:w="2920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F1F1F"/>
                <w:sz w:val="18"/>
              </w:rPr>
              <w:t>____________________________</w:t>
            </w:r>
          </w:p>
        </w:tc>
        <w:tc>
          <w:tcPr>
            <w:tcW w:type="dxa" w:w="1080"/>
            <w:shd w:fill="DCE6F1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4E78"/>
                <w:sz w:val="18"/>
              </w:rPr>
              <w:t>Date</w:t>
            </w:r>
          </w:p>
        </w:tc>
        <w:tc>
          <w:tcPr>
            <w:tcW w:type="dxa" w:w="2960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F1F1F"/>
                <w:sz w:val="18"/>
              </w:rPr>
              <w:t>______________</w:t>
            </w:r>
          </w:p>
        </w:tc>
      </w:tr>
      <w:tr>
        <w:tc>
          <w:tcPr>
            <w:tcW w:type="dxa" w:w="1080"/>
            <w:shd w:fill="DCE6F1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4E78"/>
                <w:sz w:val="18"/>
              </w:rPr>
              <w:t>Team / Bay</w:t>
            </w:r>
          </w:p>
        </w:tc>
        <w:tc>
          <w:tcPr>
            <w:tcW w:type="dxa" w:w="2920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F1F1F"/>
                <w:sz w:val="18"/>
              </w:rPr>
              <w:t>____________________________</w:t>
            </w:r>
          </w:p>
        </w:tc>
        <w:tc>
          <w:tcPr>
            <w:tcW w:type="dxa" w:w="1080"/>
            <w:shd w:fill="DCE6F1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4E78"/>
                <w:sz w:val="18"/>
              </w:rPr>
              <w:t>Instructor</w:t>
            </w:r>
          </w:p>
        </w:tc>
        <w:tc>
          <w:tcPr>
            <w:tcW w:type="dxa" w:w="2960"/>
            <w:tcMar>
              <w:top w:w="75" w:type="dxa"/>
              <w:start w:w="100" w:type="dxa"/>
              <w:bottom w:w="75" w:type="dxa"/>
              <w:end w:w="100" w:type="dxa"/>
            </w:tcMar>
            <w:vAlign w:val="center"/>
          </w:tcPr>
          <w:p>
            <w:r>
              <w:rPr>
                <w:rFonts w:ascii="Calibri" w:hAnsi="Calibri"/>
                <w:b w:val="0"/>
                <w:color w:val="1F1F1F"/>
                <w:sz w:val="18"/>
              </w:rPr>
              <w:t>______________</w:t>
            </w:r>
          </w:p>
        </w:tc>
      </w:tr>
    </w:tbl>
    <w:p>
      <w:pPr>
        <w:spacing w:before="160" w:after="80" w:line="240" w:lineRule="auto"/>
      </w:pPr>
      <w:r>
        <w:rPr>
          <w:rFonts w:ascii="Calibri" w:hAnsi="Calibri"/>
          <w:b/>
          <w:color w:val="1F4E78"/>
          <w:sz w:val="24"/>
        </w:rPr>
        <w:t>TASK</w:t>
      </w:r>
    </w:p>
    <w:p>
      <w:pPr>
        <w:spacing w:before="0" w:after="120" w:line="264" w:lineRule="auto"/>
      </w:pPr>
      <w:r>
        <w:rPr>
          <w:rFonts w:ascii="Calibri" w:hAnsi="Calibri"/>
          <w:b w:val="0"/>
          <w:color w:val="1F1F1F"/>
          <w:sz w:val="21"/>
        </w:rPr>
        <w:t>Carefully disassemble the valve body. Use the exploded view to identify each component, place it in order, and check it off on page 2.</w:t>
      </w:r>
    </w:p>
    <w:p>
      <w:pPr>
        <w:spacing w:before="0" w:after="40" w:line="252" w:lineRule="auto"/>
        <w:ind w:left="173" w:hanging="173"/>
      </w:pPr>
      <w:r>
        <w:rPr>
          <w:rFonts w:ascii="Calibri" w:hAnsi="Calibri"/>
          <w:b/>
          <w:color w:val="1F4E78"/>
          <w:sz w:val="19"/>
        </w:rPr>
        <w:t xml:space="preserve">1. </w:t>
      </w:r>
      <w:r>
        <w:rPr>
          <w:rFonts w:ascii="Calibri" w:hAnsi="Calibri"/>
          <w:b w:val="0"/>
          <w:color w:val="1F1F1F"/>
          <w:sz w:val="19"/>
        </w:rPr>
        <w:t>Set the valve body on a clean tray and compare its orientation to the diagram.</w:t>
      </w:r>
    </w:p>
    <w:p>
      <w:pPr>
        <w:spacing w:before="0" w:after="40" w:line="252" w:lineRule="auto"/>
        <w:ind w:left="173" w:hanging="173"/>
      </w:pPr>
      <w:r>
        <w:rPr>
          <w:rFonts w:ascii="Calibri" w:hAnsi="Calibri"/>
          <w:b/>
          <w:color w:val="1F4E78"/>
          <w:sz w:val="19"/>
        </w:rPr>
        <w:t xml:space="preserve">2. </w:t>
      </w:r>
      <w:r>
        <w:rPr>
          <w:rFonts w:ascii="Calibri" w:hAnsi="Calibri"/>
          <w:b w:val="0"/>
          <w:color w:val="1F1F1F"/>
          <w:sz w:val="19"/>
        </w:rPr>
        <w:t>Remove one bore assembly at a time. Keep every valve, spring, plug, and retainer in removal order.</w:t>
      </w:r>
    </w:p>
    <w:p>
      <w:pPr>
        <w:spacing w:before="0" w:after="40" w:line="252" w:lineRule="auto"/>
        <w:ind w:left="173" w:hanging="173"/>
      </w:pPr>
      <w:r>
        <w:rPr>
          <w:rFonts w:ascii="Calibri" w:hAnsi="Calibri"/>
          <w:b/>
          <w:color w:val="1F4E78"/>
          <w:sz w:val="19"/>
        </w:rPr>
        <w:t xml:space="preserve">3. </w:t>
      </w:r>
      <w:r>
        <w:rPr>
          <w:rFonts w:ascii="Calibri" w:hAnsi="Calibri"/>
          <w:b w:val="0"/>
          <w:color w:val="1F1F1F"/>
          <w:sz w:val="19"/>
        </w:rPr>
        <w:t>Match each part to its reference number and component name on page 2.</w:t>
      </w:r>
    </w:p>
    <w:p>
      <w:pPr>
        <w:spacing w:before="0" w:after="40" w:line="252" w:lineRule="auto"/>
        <w:ind w:left="173" w:hanging="173"/>
      </w:pPr>
      <w:r>
        <w:rPr>
          <w:rFonts w:ascii="Calibri" w:hAnsi="Calibri"/>
          <w:b/>
          <w:color w:val="1F4E78"/>
          <w:sz w:val="19"/>
        </w:rPr>
        <w:t xml:space="preserve">4. </w:t>
      </w:r>
      <w:r>
        <w:rPr>
          <w:rFonts w:ascii="Calibri" w:hAnsi="Calibri"/>
          <w:b w:val="0"/>
          <w:color w:val="1F1F1F"/>
          <w:sz w:val="19"/>
        </w:rPr>
        <w:t>Do not mix similar-looking valves or springs. Ask the instructor before forcing or prying any component.</w:t>
      </w:r>
    </w:p>
    <w:p>
      <w:pPr>
        <w:spacing w:before="0" w:after="40" w:line="252" w:lineRule="auto"/>
        <w:ind w:left="173" w:hanging="173"/>
      </w:pPr>
      <w:r>
        <w:rPr>
          <w:rFonts w:ascii="Calibri" w:hAnsi="Calibri"/>
          <w:b/>
          <w:color w:val="1F4E78"/>
          <w:sz w:val="19"/>
        </w:rPr>
        <w:t xml:space="preserve">5. </w:t>
      </w:r>
      <w:r>
        <w:rPr>
          <w:rFonts w:ascii="Calibri" w:hAnsi="Calibri"/>
          <w:b w:val="0"/>
          <w:color w:val="1F1F1F"/>
          <w:sz w:val="19"/>
        </w:rPr>
        <w:t>Complete the final inspection and obtain instructor initials before reassembly.</w:t>
      </w:r>
    </w:p>
    <w:p>
      <w:pPr>
        <w:spacing w:before="100" w:after="80" w:line="240" w:lineRule="auto"/>
      </w:pPr>
      <w:r>
        <w:rPr>
          <w:rFonts w:ascii="Calibri" w:hAnsi="Calibri"/>
          <w:b/>
          <w:color w:val="1F4E78"/>
          <w:sz w:val="18"/>
        </w:rPr>
        <w:t>EXPLODED VIEW — USE THE REFERENCE NUMBERS TO IDENTIFY PARTS</w:t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17720" cy="57944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(17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579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40" w:line="240" w:lineRule="auto"/>
      </w:pPr>
      <w:r>
        <w:rPr>
          <w:rFonts w:ascii="Calibri" w:hAnsi="Calibri"/>
          <w:b/>
          <w:color w:val="1F4E78"/>
          <w:sz w:val="30"/>
        </w:rPr>
        <w:t>COMPONENT LOCATION CHECKLIST</w:t>
      </w:r>
    </w:p>
    <w:p>
      <w:pPr>
        <w:spacing w:before="0" w:after="80" w:line="240" w:lineRule="auto"/>
      </w:pPr>
      <w:r>
        <w:rPr>
          <w:rFonts w:ascii="Calibri" w:hAnsi="Calibri"/>
          <w:b w:val="0"/>
          <w:color w:val="505050"/>
          <w:sz w:val="19"/>
        </w:rPr>
        <w:t>Check each box only after the component has been removed, identified, and placed in the correct order.</w:t>
      </w:r>
    </w:p>
    <w:tbl>
      <w:tblPr>
        <w:tblStyle w:val="TableGrid"/>
        <w:tblW w:type="dxa" w:w="9280"/>
        <w:tblLayout w:type="fixed"/>
        <w:tblLook w:firstColumn="1" w:firstRow="1" w:lastColumn="0" w:lastRow="0" w:noHBand="0" w:noVBand="1" w:val="04A0"/>
        <w:tblInd w:w="120" w:type="dxa"/>
        <w:tblInd w:w="120" w:type="dxa"/>
      </w:tblPr>
      <w:tblGrid>
        <w:gridCol w:w="650"/>
        <w:gridCol w:w="720"/>
        <w:gridCol w:w="3270"/>
        <w:gridCol w:w="650"/>
        <w:gridCol w:w="720"/>
        <w:gridCol w:w="3270"/>
      </w:tblGrid>
      <w:tr>
        <w:trPr>
          <w:tblHeader w:val="true"/>
        </w:trPr>
        <w:tc>
          <w:tcPr>
            <w:tcW w:type="dxa" w:w="650"/>
            <w:shd w:fill="1F4E78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Check</w:t>
            </w:r>
          </w:p>
        </w:tc>
        <w:tc>
          <w:tcPr>
            <w:tcW w:type="dxa" w:w="720"/>
            <w:shd w:fill="1F4E78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Ref.</w:t>
            </w:r>
          </w:p>
        </w:tc>
        <w:tc>
          <w:tcPr>
            <w:tcW w:type="dxa" w:w="3270"/>
            <w:shd w:fill="1F4E78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Component</w:t>
            </w:r>
          </w:p>
        </w:tc>
        <w:tc>
          <w:tcPr>
            <w:tcW w:type="dxa" w:w="650"/>
            <w:shd w:fill="1F4E78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Check</w:t>
            </w:r>
          </w:p>
        </w:tc>
        <w:tc>
          <w:tcPr>
            <w:tcW w:type="dxa" w:w="720"/>
            <w:shd w:fill="1F4E78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Ref.</w:t>
            </w:r>
          </w:p>
        </w:tc>
        <w:tc>
          <w:tcPr>
            <w:tcW w:type="dxa" w:w="3270"/>
            <w:shd w:fill="1F4E78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Component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340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Manual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373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Plug, Bore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350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 Assembly, Control Body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374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Actuator Feed Limit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353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Seal, Forward Accumulator Oil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375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Actuator Feed Limit Valve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354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Piston, Forward Accumulator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376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Plug, Bore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355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Pin, Forward Accumulator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377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Pressure Control Solenoid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356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Forward Accumulator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378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Retainer, Pressure Control Solenoid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357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Forward Abuse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379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Retainer, Solenoid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358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Forward Abuse Valve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380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Converter Clutch Signal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359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Plug, Bore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381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Plug, Bore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360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Pin, Coiled Spring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382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4–3 Sequence Valve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361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Low Overrun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383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4–3 Sequence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362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Low Overrun Valve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384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3–4 Relay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363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Cover, Forward Accumulator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385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3–4 Shift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364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Bolt, Forward Accumulator Cover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386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3–4 Shift Valve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365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1–2 Shift Valve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387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Reverse Abuse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366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1–2 Shift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388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Reverse Abuse Valve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367A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Shift Solenoid A (1–2–3–4)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389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3–2 Downshift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367B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Shift Solenoid B (2–3)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390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3–2 Downshift Valve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368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2–3 Shift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391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3–2 Control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369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2–3 Shuttle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392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3–2 Control Valve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370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Accumulator Valve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393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Spring, Bore Plug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371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Valve, Accumulator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394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  <w:shd w:fill="EEF4F8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3–2 Control Solenoid</w:t>
            </w:r>
          </w:p>
        </w:tc>
      </w:tr>
      <w:tr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372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Sleeve, Accumulator Valve</w:t>
            </w:r>
          </w:p>
        </w:tc>
        <w:tc>
          <w:tcPr>
            <w:tcW w:type="dxa" w:w="65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1F1F1F"/>
                <w:sz w:val="19"/>
              </w:rPr>
              <w:t>☐</w:t>
            </w:r>
          </w:p>
        </w:tc>
        <w:tc>
          <w:tcPr>
            <w:tcW w:type="dxa" w:w="72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1F1F1F"/>
                <w:sz w:val="15"/>
              </w:rPr>
              <w:t>395</w:t>
            </w:r>
          </w:p>
        </w:tc>
        <w:tc>
          <w:tcPr>
            <w:tcW w:type="dxa" w:w="3270"/>
            <w:tcMar>
              <w:top w:w="25" w:type="dxa"/>
              <w:start w:w="70" w:type="dxa"/>
              <w:bottom w:w="2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b w:val="0"/>
                <w:color w:val="1F1F1F"/>
                <w:sz w:val="14"/>
              </w:rPr>
              <w:t>Retainer, Bore Plug</w:t>
            </w:r>
          </w:p>
        </w:tc>
      </w:tr>
    </w:tbl>
    <w:p>
      <w:pPr>
        <w:spacing w:before="80" w:after="40" w:line="240" w:lineRule="auto"/>
      </w:pPr>
      <w:r>
        <w:rPr>
          <w:rFonts w:ascii="Calibri" w:hAnsi="Calibri"/>
          <w:b/>
          <w:color w:val="1F4E78"/>
          <w:sz w:val="22"/>
        </w:rPr>
        <w:t>FINAL INSPECTION</w:t>
      </w:r>
    </w:p>
    <w:p>
      <w:pPr>
        <w:spacing w:before="0" w:after="20" w:line="240" w:lineRule="auto"/>
      </w:pPr>
      <w:r>
        <w:rPr>
          <w:rFonts w:ascii="Calibri" w:hAnsi="Calibri"/>
          <w:b w:val="0"/>
          <w:color w:val="1F1F1F"/>
          <w:sz w:val="17"/>
        </w:rPr>
        <w:t>☐ All listed components were located and identified.</w:t>
      </w:r>
    </w:p>
    <w:p>
      <w:pPr>
        <w:spacing w:before="0" w:after="20" w:line="240" w:lineRule="auto"/>
      </w:pPr>
      <w:r>
        <w:rPr>
          <w:rFonts w:ascii="Calibri" w:hAnsi="Calibri"/>
          <w:b w:val="0"/>
          <w:color w:val="1F1F1F"/>
          <w:sz w:val="17"/>
        </w:rPr>
        <w:t>☐ Parts are arranged in correct removal order.</w:t>
      </w:r>
    </w:p>
    <w:p>
      <w:pPr>
        <w:spacing w:before="0" w:after="20" w:line="240" w:lineRule="auto"/>
      </w:pPr>
      <w:r>
        <w:rPr>
          <w:rFonts w:ascii="Calibri" w:hAnsi="Calibri"/>
          <w:b w:val="0"/>
          <w:color w:val="1F1F1F"/>
          <w:sz w:val="17"/>
        </w:rPr>
        <w:t>☐ No components are damaged, missing, or mixed with another group.</w:t>
      </w:r>
    </w:p>
    <w:p>
      <w:pPr>
        <w:spacing w:before="60" w:after="0" w:line="240" w:lineRule="auto"/>
      </w:pPr>
      <w:r>
        <w:rPr>
          <w:rFonts w:ascii="Calibri" w:hAnsi="Calibri"/>
          <w:b/>
          <w:color w:val="1F1F1F"/>
          <w:sz w:val="18"/>
        </w:rPr>
        <w:t>Instructor Initials: ____________________     Completion:  ☐ Satisfactory   ☐ Needs Review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/>
        <w:b w:val="0"/>
        <w:color w:val="646464"/>
        <w:sz w:val="16"/>
      </w:rPr>
      <w:t>Handle all valves, plugs, springs, retainers, and solenoids carefully. Do not force parts.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Calibri" w:hAnsi="Calibri"/>
        <w:b/>
        <w:color w:val="646464"/>
        <w:sz w:val="16"/>
      </w:rPr>
      <w:t>AUTOMATIC TRANSMISSION • VALVE BODY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Valve Body Disassembly Component Check-Off Task Sheet</dc:title>
  <dc:subject>Automatic Transmission Valve Body Lab</dc:subject>
  <dc:creator>Marcus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