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before="0" w:after="20" w:line="240" w:lineRule="auto"/>
      </w:pPr>
      <w:r>
        <w:rPr>
          <w:rFonts w:ascii="Calibri" w:hAnsi="Calibri"/>
          <w:b/>
          <w:i w:val="0"/>
          <w:color w:val="1F4E78"/>
          <w:sz w:val="15"/>
        </w:rPr>
        <w:t>HANDS-ON TASK SHEET</w:t>
      </w:r>
    </w:p>
    <w:p>
      <w:pPr>
        <w:spacing w:before="0" w:after="40" w:line="240" w:lineRule="auto"/>
      </w:pPr>
      <w:r>
        <w:rPr>
          <w:rFonts w:ascii="Calibri" w:hAnsi="Calibri"/>
          <w:b/>
          <w:i w:val="0"/>
          <w:color w:val="1F4E78"/>
          <w:sz w:val="38"/>
        </w:rPr>
        <w:t>Valve Body Disassembly &amp; Component Location</w:t>
      </w:r>
    </w:p>
    <w:p>
      <w:pPr>
        <w:spacing w:before="0" w:after="100" w:line="240" w:lineRule="auto"/>
      </w:pPr>
      <w:r>
        <w:rPr>
          <w:rFonts w:ascii="Calibri" w:hAnsi="Calibri"/>
          <w:b w:val="0"/>
          <w:i w:val="0"/>
          <w:color w:val="666666"/>
          <w:sz w:val="17"/>
        </w:rPr>
        <w:t>Disassemble the assigned valve body and locate every component shown in the diagrams and identification list.</w:t>
      </w:r>
    </w:p>
    <w:tbl>
      <w:tblPr>
        <w:tblStyle w:val="TableGrid"/>
        <w:tblW w:type="dxa" w:w="11966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0"/>
        <w:gridCol w:w="2520"/>
        <w:gridCol w:w="792"/>
        <w:gridCol w:w="2232"/>
        <w:gridCol w:w="547"/>
        <w:gridCol w:w="1800"/>
        <w:gridCol w:w="1123"/>
        <w:gridCol w:w="2232"/>
      </w:tblGrid>
      <w:tr>
        <w:tc>
          <w:tcPr>
            <w:tcW w:type="dxa" w:w="720"/>
            <w:shd w:fill="EAF2F8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F4E78"/>
                <w:sz w:val="15"/>
              </w:rPr>
              <w:t>Student</w:t>
            </w:r>
          </w:p>
        </w:tc>
        <w:tc>
          <w:tcPr>
            <w:tcW w:type="dxa" w:w="2520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____________________</w:t>
            </w:r>
          </w:p>
        </w:tc>
        <w:tc>
          <w:tcPr>
            <w:tcW w:type="dxa" w:w="792"/>
            <w:shd w:fill="EAF2F8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F4E78"/>
                <w:sz w:val="15"/>
              </w:rPr>
              <w:t>Partner</w:t>
            </w:r>
          </w:p>
        </w:tc>
        <w:tc>
          <w:tcPr>
            <w:tcW w:type="dxa" w:w="2232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________________</w:t>
            </w:r>
          </w:p>
        </w:tc>
        <w:tc>
          <w:tcPr>
            <w:tcW w:type="dxa" w:w="547"/>
            <w:shd w:fill="EAF2F8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F4E78"/>
                <w:sz w:val="15"/>
              </w:rPr>
              <w:t>Date</w:t>
            </w:r>
          </w:p>
        </w:tc>
        <w:tc>
          <w:tcPr>
            <w:tcW w:type="dxa" w:w="1800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____________</w:t>
            </w:r>
          </w:p>
        </w:tc>
        <w:tc>
          <w:tcPr>
            <w:tcW w:type="dxa" w:w="1123"/>
            <w:shd w:fill="EAF2F8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F4E78"/>
                <w:sz w:val="15"/>
              </w:rPr>
              <w:t>Valve Body ID</w:t>
            </w:r>
          </w:p>
        </w:tc>
        <w:tc>
          <w:tcPr>
            <w:tcW w:type="dxa" w:w="2232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tbl>
      <w:tblPr>
        <w:tblW w:type="dxa" w:w="1440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00"/>
        <w:gridCol w:w="7200"/>
      </w:tblGrid>
      <w:tr>
        <w:tc>
          <w:tcPr>
            <w:tcW w:type="dxa" w:w="7200"/>
            <w:tcMar>
              <w:top w:w="40" w:type="dxa"/>
              <w:start w:w="65" w:type="dxa"/>
              <w:bottom w:w="40" w:type="dxa"/>
              <w:end w:w="65" w:type="dxa"/>
            </w:tcMar>
            <w:vAlign w:val="center"/>
          </w:tcPr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i w:val="0"/>
                <w:color w:val="1F4E78"/>
                <w:sz w:val="19"/>
              </w:rPr>
              <w:t>TASK PROCEDURE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1. Wear safety glasses; prepare a clean mat or compartment tray.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2. Photograph the valve body before removing plugs, clips, covers, or solenoids.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3. Disassemble one valve train at a time and control all spring tension.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4. Arrange every valve, sleeve, spring, plug, pin, and retainer in removal order.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5. Match each part to the diagram reference number and component list.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6. Check Located, record condition, and note the correct bore/location.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7. Obtain instructor approval before cleaning, moving, or reassembling parts.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8. Reassemble in correct order/orientation and verify free valve movement.</w:t>
            </w:r>
          </w:p>
        </w:tc>
        <w:tc>
          <w:tcPr>
            <w:tcW w:type="dxa" w:w="7200"/>
            <w:tcMar>
              <w:top w:w="40" w:type="dxa"/>
              <w:start w:w="65" w:type="dxa"/>
              <w:bottom w:w="40" w:type="dxa"/>
              <w:end w:w="65" w:type="dxa"/>
            </w:tcMar>
            <w:vAlign w:val="center"/>
          </w:tcPr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i w:val="0"/>
                <w:color w:val="1F4E78"/>
                <w:sz w:val="19"/>
              </w:rPr>
              <w:t>SAFETY &amp; COMPLETION STANDARD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7128"/>
            </w:tblGrid>
            <w:tr>
              <w:tc>
                <w:tcPr>
                  <w:tcW w:type="dxa" w:w="7128"/>
                  <w:shd w:fill="FFF2CC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/>
                      <w:b/>
                      <w:i w:val="0"/>
                      <w:color w:val="9C0006"/>
                      <w:sz w:val="15"/>
                    </w:rPr>
                    <w:t>CAUTION: Springs may be under tension. Never force a spool valve, scratch a precision surface, or mix components between bores.</w:t>
                  </w:r>
                </w:p>
              </w:tc>
            </w:tr>
          </w:tbl>
          <w:p/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□ All numbered components are accounted for.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□ Valve trains remain separated and in correct order.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□ Installed orientation and bore location are verified.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□ Wear, scoring, sticking, damage, or missing parts are documented.</w:t>
            </w:r>
          </w:p>
          <w:p>
            <w:pPr>
              <w:spacing w:before="0" w:after="30" w:line="228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□ Instructor verifies the layout before reassembly.</w:t>
            </w:r>
          </w:p>
        </w:tc>
      </w:tr>
    </w:tbl>
    <w:p>
      <w:pPr>
        <w:spacing w:before="60" w:after="40" w:line="240" w:lineRule="auto"/>
      </w:pPr>
      <w:r>
        <w:rPr>
          <w:rFonts w:ascii="Calibri" w:hAnsi="Calibri"/>
          <w:b/>
          <w:i w:val="0"/>
          <w:color w:val="1F4E78"/>
          <w:sz w:val="21"/>
        </w:rPr>
        <w:t>REFERENCE DIAGRAMS</w:t>
      </w:r>
    </w:p>
    <w:tbl>
      <w:tblPr>
        <w:tblW w:type="dxa" w:w="1440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00"/>
        <w:gridCol w:w="7200"/>
      </w:tblGrid>
      <w:tr>
        <w:tc>
          <w:tcPr>
            <w:tcW w:type="dxa" w:w="7200"/>
            <w:tcMar>
              <w:top w:w="40" w:type="dxa"/>
              <w:start w:w="65" w:type="dxa"/>
              <w:bottom w:w="40" w:type="dxa"/>
              <w:end w:w="65" w:type="dxa"/>
            </w:tcMar>
            <w:vAlign w:val="center"/>
          </w:tcPr>
          <w:p>
            <w:pPr>
              <w:spacing w:before="0" w:after="2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1F4E78"/>
                <w:sz w:val="16"/>
              </w:rPr>
              <w:t>Diagram A — Reference Nos. 340, 350, 379–395</w:t>
            </w:r>
          </w:p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89120" cy="256277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reenshot 2026-07-29 184337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0" cy="25627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0"/>
            <w:tcMar>
              <w:top w:w="40" w:type="dxa"/>
              <w:start w:w="65" w:type="dxa"/>
              <w:bottom w:w="40" w:type="dxa"/>
              <w:end w:w="65" w:type="dxa"/>
            </w:tcMar>
            <w:vAlign w:val="center"/>
          </w:tcPr>
          <w:p>
            <w:pPr>
              <w:spacing w:before="0" w:after="2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1F4E78"/>
                <w:sz w:val="16"/>
              </w:rPr>
              <w:t>Diagram B — Reference Nos. 350, 353–379</w:t>
            </w:r>
          </w:p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89120" cy="263347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reenshot 2026-07-29 184347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0" cy="26334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" w:after="0" w:line="240" w:lineRule="auto"/>
        <w:jc w:val="center"/>
      </w:pPr>
      <w:r>
        <w:rPr>
          <w:rFonts w:ascii="Calibri" w:hAnsi="Calibri"/>
          <w:b/>
          <w:i w:val="0"/>
          <w:color w:val="1F4E78"/>
          <w:sz w:val="16"/>
        </w:rPr>
        <w:t>Instructor checkpoint before reassembly:  □ Component layout verified   Initials: __________</w:t>
      </w:r>
    </w:p>
    <w:p>
      <w:pPr>
        <w:pageBreakBefore/>
        <w:spacing w:before="0" w:after="20" w:line="240" w:lineRule="auto"/>
      </w:pPr>
      <w:r>
        <w:rPr>
          <w:rFonts w:ascii="Calibri" w:hAnsi="Calibri"/>
          <w:b/>
          <w:i w:val="0"/>
          <w:color w:val="1F4E78"/>
          <w:sz w:val="15"/>
        </w:rPr>
        <w:t>HANDS-ON TASK SHEET</w:t>
      </w:r>
    </w:p>
    <w:p>
      <w:pPr>
        <w:spacing w:before="0" w:after="40" w:line="240" w:lineRule="auto"/>
      </w:pPr>
      <w:r>
        <w:rPr>
          <w:rFonts w:ascii="Calibri" w:hAnsi="Calibri"/>
          <w:b/>
          <w:i w:val="0"/>
          <w:color w:val="1F4E78"/>
          <w:sz w:val="38"/>
        </w:rPr>
        <w:t>Component Identification &amp; Location Checklist</w:t>
      </w:r>
    </w:p>
    <w:p>
      <w:pPr>
        <w:spacing w:before="0" w:after="100" w:line="240" w:lineRule="auto"/>
      </w:pPr>
      <w:r>
        <w:rPr>
          <w:rFonts w:ascii="Calibri" w:hAnsi="Calibri"/>
          <w:b w:val="0"/>
          <w:i w:val="0"/>
          <w:color w:val="666666"/>
          <w:sz w:val="17"/>
        </w:rPr>
        <w:t>Locate each component in the disassembled valve body. Record its condition and bore/location.</w:t>
      </w:r>
    </w:p>
    <w:tbl>
      <w:tblPr>
        <w:tblW w:type="dxa" w:w="1440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00"/>
        <w:gridCol w:w="7200"/>
      </w:tblGrid>
      <w:tr>
        <w:tc>
          <w:tcPr>
            <w:tcW w:type="dxa" w:w="7200"/>
            <w:tcMar>
              <w:top w:w="40" w:type="dxa"/>
              <w:start w:w="65" w:type="dxa"/>
              <w:bottom w:w="40" w:type="dxa"/>
              <w:end w:w="65" w:type="dxa"/>
            </w:tcMar>
            <w:vAlign w:val="center"/>
          </w:tcPr>
          <w:p/>
          <w:tbl>
            <w:tblPr>
              <w:tblStyle w:val="TableGrid"/>
              <w:tblW w:type="dxa" w:w="6623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547"/>
              <w:gridCol w:w="2951"/>
              <w:gridCol w:w="691"/>
              <w:gridCol w:w="892"/>
              <w:gridCol w:w="1540"/>
            </w:tblGrid>
            <w:tr>
              <w:trPr>
                <w:tblHeader w:val="true"/>
              </w:trPr>
              <w:tc>
                <w:tcPr>
                  <w:tcW w:type="dxa" w:w="547"/>
                  <w:shd w:fill="1F4E7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FFFFFF"/>
                      <w:sz w:val="14"/>
                    </w:rPr>
                    <w:t>Ref.</w:t>
                  </w:r>
                </w:p>
              </w:tc>
              <w:tc>
                <w:tcPr>
                  <w:tcW w:type="dxa" w:w="2951"/>
                  <w:shd w:fill="1F4E7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FFFFFF"/>
                      <w:sz w:val="14"/>
                    </w:rPr>
                    <w:t>Component</w:t>
                  </w:r>
                </w:p>
              </w:tc>
              <w:tc>
                <w:tcPr>
                  <w:tcW w:type="dxa" w:w="691"/>
                  <w:shd w:fill="1F4E7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FFFFFF"/>
                      <w:sz w:val="14"/>
                    </w:rPr>
                    <w:t>Located</w:t>
                  </w:r>
                </w:p>
              </w:tc>
              <w:tc>
                <w:tcPr>
                  <w:tcW w:type="dxa" w:w="892"/>
                  <w:shd w:fill="1F4E7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FFFFFF"/>
                      <w:sz w:val="14"/>
                    </w:rPr>
                    <w:t>Condition</w:t>
                  </w:r>
                </w:p>
              </w:tc>
              <w:tc>
                <w:tcPr>
                  <w:tcW w:type="dxa" w:w="1540"/>
                  <w:shd w:fill="1F4E7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FFFFFF"/>
                      <w:sz w:val="14"/>
                    </w:rPr>
                    <w:t>Bore / Notes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340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Manual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350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 Assembly, Control Body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353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Seal, Forward Accumulator Oil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354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Piston, Forward Accumulator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355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Pin, Forward Accumulator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356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Forward Accumulator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357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Forward Abuse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358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Forward Abuse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359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Plug, Bore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360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Pin, Coiled Spring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361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Low Overrun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362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Low Overrun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363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Cover, Forward Accumulator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364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Bolt, Forward Accumulator Cover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365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1-2 Shift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366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1-2 Shift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367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Shift Solenoid A (1-2/3-4)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367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Shift Solenoid B (2-3)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368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2-3 Shift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369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2-3 Shuttle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370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Accumulator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371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Accumulator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372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Sleeve, Accumulator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</w:tbl>
          <w:p/>
        </w:tc>
        <w:tc>
          <w:tcPr>
            <w:tcW w:type="dxa" w:w="7200"/>
            <w:tcMar>
              <w:top w:w="40" w:type="dxa"/>
              <w:start w:w="65" w:type="dxa"/>
              <w:bottom w:w="40" w:type="dxa"/>
              <w:end w:w="65" w:type="dxa"/>
            </w:tcMar>
            <w:vAlign w:val="center"/>
          </w:tcPr>
          <w:p/>
          <w:tbl>
            <w:tblPr>
              <w:tblStyle w:val="TableGrid"/>
              <w:tblW w:type="dxa" w:w="6623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547"/>
              <w:gridCol w:w="2951"/>
              <w:gridCol w:w="691"/>
              <w:gridCol w:w="892"/>
              <w:gridCol w:w="1540"/>
            </w:tblGrid>
            <w:tr>
              <w:trPr>
                <w:tblHeader w:val="true"/>
              </w:trPr>
              <w:tc>
                <w:tcPr>
                  <w:tcW w:type="dxa" w:w="547"/>
                  <w:shd w:fill="1F4E7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FFFFFF"/>
                      <w:sz w:val="14"/>
                    </w:rPr>
                    <w:t>Ref.</w:t>
                  </w:r>
                </w:p>
              </w:tc>
              <w:tc>
                <w:tcPr>
                  <w:tcW w:type="dxa" w:w="2951"/>
                  <w:shd w:fill="1F4E7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FFFFFF"/>
                      <w:sz w:val="14"/>
                    </w:rPr>
                    <w:t>Component</w:t>
                  </w:r>
                </w:p>
              </w:tc>
              <w:tc>
                <w:tcPr>
                  <w:tcW w:type="dxa" w:w="691"/>
                  <w:shd w:fill="1F4E7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FFFFFF"/>
                      <w:sz w:val="14"/>
                    </w:rPr>
                    <w:t>Located</w:t>
                  </w:r>
                </w:p>
              </w:tc>
              <w:tc>
                <w:tcPr>
                  <w:tcW w:type="dxa" w:w="892"/>
                  <w:shd w:fill="1F4E7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FFFFFF"/>
                      <w:sz w:val="14"/>
                    </w:rPr>
                    <w:t>Condition</w:t>
                  </w:r>
                </w:p>
              </w:tc>
              <w:tc>
                <w:tcPr>
                  <w:tcW w:type="dxa" w:w="1540"/>
                  <w:shd w:fill="1F4E7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FFFFFF"/>
                      <w:sz w:val="14"/>
                    </w:rPr>
                    <w:t>Bore / Notes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373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Plug, Bore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374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Actuator Feed Limit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375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Actuator Feed Limit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376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Plug, Bore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377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Pressure Control Solenoid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378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Retainer, Pressure Control Solenoid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379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Retainer, Solenoid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380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Converter Clutch Signal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381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Plug, Bore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382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4-3 Sequence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383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4-3 Sequence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384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3-4 Relay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385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3-4 Shift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386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3-4 Shift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387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Reverse Abuse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388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Reverse Abuse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389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3-2 Downshift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390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3-2 Downshift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391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Valve, 3-2 Control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392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3-2 Control Valve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393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Spring, Bore Plug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394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3-2 Control Solenoid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47"/>
                  <w:shd w:fill="EAF2F8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/>
                      <w:i w:val="0"/>
                      <w:color w:val="1F4E78"/>
                      <w:sz w:val="14"/>
                    </w:rPr>
                    <w:t>395</w:t>
                  </w:r>
                </w:p>
              </w:tc>
              <w:tc>
                <w:tcPr>
                  <w:tcW w:type="dxa" w:w="295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Retainer, Bore Plug</w:t>
                  </w:r>
                </w:p>
              </w:tc>
              <w:tc>
                <w:tcPr>
                  <w:tcW w:type="dxa" w:w="691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  <w:t>□</w:t>
                  </w:r>
                </w:p>
              </w:tc>
              <w:tc>
                <w:tcPr>
                  <w:tcW w:type="dxa" w:w="892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  <w:tc>
                <w:tcPr>
                  <w:tcW w:type="dxa" w:w="1540"/>
                  <w:vAlign w:val="center"/>
                  <w:tcMar>
                    <w:top w:w="40" w:type="dxa"/>
                    <w:start w:w="65" w:type="dxa"/>
                    <w:bottom w:w="40" w:type="dxa"/>
                    <w:end w:w="65" w:type="dxa"/>
                  </w:tcMar>
                </w:tcPr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rFonts w:ascii="Calibri" w:hAnsi="Calibri"/>
                      <w:b w:val="0"/>
                      <w:i w:val="0"/>
                      <w:color w:val="000000"/>
                      <w:sz w:val="14"/>
                    </w:rPr>
                  </w:r>
                </w:p>
              </w:tc>
            </w:tr>
          </w:tbl>
          <w:p/>
        </w:tc>
      </w:tr>
    </w:tbl>
    <w:tbl>
      <w:tblPr>
        <w:tblStyle w:val="TableGrid"/>
        <w:tblW w:type="dxa" w:w="1440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296"/>
        <w:gridCol w:w="5903"/>
        <w:gridCol w:w="1512"/>
        <w:gridCol w:w="5688"/>
      </w:tblGrid>
      <w:tr>
        <w:tc>
          <w:tcPr>
            <w:tcW w:type="dxa" w:w="1296"/>
            <w:shd w:fill="EAF2F8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F4E78"/>
                <w:sz w:val="15"/>
              </w:rPr>
              <w:t>Student Findings</w:t>
            </w:r>
          </w:p>
        </w:tc>
        <w:tc>
          <w:tcPr>
            <w:tcW w:type="dxa" w:w="5903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____________________________________________________________</w:t>
            </w:r>
          </w:p>
        </w:tc>
        <w:tc>
          <w:tcPr>
            <w:tcW w:type="dxa" w:w="1512"/>
            <w:shd w:fill="EAF2F8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F4E78"/>
                <w:sz w:val="15"/>
              </w:rPr>
              <w:t>Instructor Approval</w:t>
            </w:r>
          </w:p>
        </w:tc>
        <w:tc>
          <w:tcPr>
            <w:tcW w:type="dxa" w:w="5688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____________________________</w:t>
            </w:r>
          </w:p>
        </w:tc>
      </w:tr>
      <w:tr>
        <w:tc>
          <w:tcPr>
            <w:tcW w:type="dxa" w:w="1296"/>
            <w:shd w:fill="EAF2F8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F4E78"/>
                <w:sz w:val="15"/>
              </w:rPr>
              <w:t>Student Signature</w:t>
            </w:r>
          </w:p>
        </w:tc>
        <w:tc>
          <w:tcPr>
            <w:tcW w:type="dxa" w:w="5903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____________________________________</w:t>
            </w:r>
          </w:p>
        </w:tc>
        <w:tc>
          <w:tcPr>
            <w:tcW w:type="dxa" w:w="1512"/>
            <w:shd w:fill="EAF2F8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F4E78"/>
                <w:sz w:val="15"/>
              </w:rPr>
              <w:t>Date / Score</w:t>
            </w:r>
          </w:p>
        </w:tc>
        <w:tc>
          <w:tcPr>
            <w:tcW w:type="dxa" w:w="5688"/>
            <w:vAlign w:val="center"/>
            <w:tcMar>
              <w:top w:w="40" w:type="dxa"/>
              <w:start w:w="65" w:type="dxa"/>
              <w:bottom w:w="40" w:type="dxa"/>
              <w:end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5"/>
              </w:rPr>
              <w:t>____________   ______ / 20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547" w:right="792" w:bottom="547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Calibri" w:hAnsi="Calibri"/>
        <w:b w:val="0"/>
        <w:i w:val="0"/>
        <w:color w:val="666666"/>
        <w:sz w:val="15"/>
      </w:rPr>
      <w:t>Automatic Transmission Hydraulics  |  Valve Body Lab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Valve Body Disassembly and Component Location Task Sheet</dc:title>
  <dc:subject>Two-page automatic transmission hydraulics lab task sheet</dc:subject>
  <dc:creator>Automotive Technology Program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